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B651AC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B0CA0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C4" w:rsidRPr="000877E6" w:rsidRDefault="009D2F91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«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 – 2034 годы</w:t>
      </w:r>
      <w:r>
        <w:rPr>
          <w:rFonts w:ascii="Times New Roman" w:hAnsi="Times New Roman"/>
          <w:sz w:val="24"/>
          <w:szCs w:val="24"/>
        </w:rPr>
        <w:t xml:space="preserve">» направлена на </w:t>
      </w:r>
      <w:r w:rsidRPr="000877E6"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чение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, перспективно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AA2E09">
        <w:rPr>
          <w:rFonts w:ascii="Times New Roman" w:hAnsi="Times New Roman"/>
          <w:sz w:val="24"/>
          <w:szCs w:val="24"/>
        </w:rPr>
        <w:t>я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устойчивого обслуживания жителей 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(в дальнейшем - Поселение) транспортными услугами, снижение износа объектов транспортной инфраструктуры  - одна из главных проблем, решение которой необходимо для  повышения  качества жизни жителей  и  обеспечения устойчивого развития Поселения.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 носит  комплексный  характер, а реализация мероприятий  по улучшению качества транспортной  инфраструктуры  возможна  только  при взаимодействии  органов  власти всех уровней,  а  также  концентрации  финансовых, технических и научных ресурсов.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дорожного  хозяйства  на  территории Поселения и  предполагает реализацию следующих мероприятий: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 по содержанию автомобильных  дорог  и  искусственных  сооружений  на  них  в  соответствии  с нормативными требованиями.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по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3. Мероприятия по капитальному ремонту автомобильных  дорог  местного значения и искусственных сооружений на них. Реализация мероприятий позволит сохранить 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 по  капита</w:t>
      </w:r>
      <w:r w:rsidR="00AA2E09">
        <w:rPr>
          <w:rFonts w:ascii="Times New Roman" w:hAnsi="Times New Roman"/>
          <w:sz w:val="24"/>
          <w:szCs w:val="24"/>
        </w:rPr>
        <w:t xml:space="preserve">льному  ремонту  и  ремонту    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определя</w:t>
      </w:r>
      <w:r w:rsidR="00AA2E09">
        <w:rPr>
          <w:rFonts w:ascii="Times New Roman" w:hAnsi="Times New Roman"/>
          <w:sz w:val="24"/>
          <w:szCs w:val="24"/>
        </w:rPr>
        <w:t>ются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результатов обследования  автомобильных дорог местного значения и искусственных сооружений на них.</w:t>
      </w:r>
    </w:p>
    <w:p w:rsidR="00DB40C4" w:rsidRDefault="00DB40C4" w:rsidP="00DB4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долгосрочную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сроком на 17 лет. Таким образом, Программа является инструментом реализации приоритетных направлений развития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на долгосрочную перспективу, ориентирована на устойчивое развитие Поселения и соответствует государственной политике  реформирования  транспортной системы  Российской Федерации. </w:t>
      </w:r>
    </w:p>
    <w:p w:rsidR="008A4474" w:rsidRPr="000877E6" w:rsidRDefault="00AA2E09" w:rsidP="008A447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в рамках комплексной Программы освоено </w:t>
      </w:r>
      <w:r w:rsidR="003C4F61">
        <w:rPr>
          <w:rFonts w:ascii="Times New Roman" w:hAnsi="Times New Roman"/>
          <w:sz w:val="24"/>
          <w:szCs w:val="24"/>
        </w:rPr>
        <w:t>6</w:t>
      </w:r>
      <w:r w:rsidR="003B0CA0">
        <w:rPr>
          <w:rFonts w:ascii="Times New Roman" w:hAnsi="Times New Roman"/>
          <w:sz w:val="24"/>
          <w:szCs w:val="24"/>
        </w:rPr>
        <w:t> 697 229,24</w:t>
      </w:r>
      <w:r w:rsidR="00126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на выполнение </w:t>
      </w:r>
      <w:proofErr w:type="gramStart"/>
      <w:r>
        <w:rPr>
          <w:rFonts w:ascii="Times New Roman" w:hAnsi="Times New Roman"/>
          <w:sz w:val="24"/>
          <w:szCs w:val="24"/>
        </w:rPr>
        <w:t>основного  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8A4474" w:rsidRPr="000877E6">
        <w:rPr>
          <w:rFonts w:ascii="Times New Roman" w:hAnsi="Times New Roman"/>
          <w:sz w:val="24"/>
          <w:szCs w:val="24"/>
        </w:rPr>
        <w:t>текущий ремонт дорожного покрытия существующей улично-дорожной сети</w:t>
      </w:r>
      <w:r w:rsidR="008A447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4474">
        <w:rPr>
          <w:rFonts w:ascii="Times New Roman" w:hAnsi="Times New Roman"/>
          <w:sz w:val="24"/>
          <w:szCs w:val="24"/>
        </w:rPr>
        <w:t>д.Новое</w:t>
      </w:r>
      <w:proofErr w:type="spellEnd"/>
      <w:r w:rsidR="008A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474">
        <w:rPr>
          <w:rFonts w:ascii="Times New Roman" w:hAnsi="Times New Roman"/>
          <w:sz w:val="24"/>
          <w:szCs w:val="24"/>
        </w:rPr>
        <w:t>Девяткино</w:t>
      </w:r>
      <w:proofErr w:type="spellEnd"/>
      <w:r w:rsidR="008A4474">
        <w:rPr>
          <w:rFonts w:ascii="Times New Roman" w:hAnsi="Times New Roman"/>
          <w:sz w:val="24"/>
          <w:szCs w:val="24"/>
        </w:rPr>
        <w:t>.</w:t>
      </w:r>
    </w:p>
    <w:p w:rsidR="00AA2E09" w:rsidRPr="000877E6" w:rsidRDefault="00AA2E09" w:rsidP="008A44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Pr="000877E6" w:rsidRDefault="00DB40C4" w:rsidP="00DB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Pr="00690600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DB40C4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3B0CA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023AA0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2" w:rsidRPr="00736EF2" w:rsidRDefault="00736EF2" w:rsidP="00736EF2">
            <w:pPr>
              <w:pStyle w:val="a7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6EF2">
              <w:rPr>
                <w:sz w:val="20"/>
                <w:szCs w:val="20"/>
              </w:rPr>
              <w:t xml:space="preserve">Повышение уровня безопасности </w:t>
            </w:r>
          </w:p>
          <w:p w:rsidR="00146810" w:rsidRPr="00023AA0" w:rsidRDefault="00736EF2" w:rsidP="007E069A">
            <w:pPr>
              <w:rPr>
                <w:sz w:val="20"/>
                <w:szCs w:val="20"/>
              </w:rPr>
            </w:pPr>
            <w:r w:rsidRPr="00736EF2">
              <w:rPr>
                <w:rFonts w:ascii="Times New Roman" w:hAnsi="Times New Roman" w:cs="Times New Roman"/>
                <w:sz w:val="20"/>
                <w:szCs w:val="20"/>
              </w:rPr>
              <w:t>движения, доступности и качества оказываемых услуг транспортного комплекса для населения</w:t>
            </w:r>
            <w:r w:rsidRPr="00736EF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736EF2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EF2">
              <w:rPr>
                <w:rFonts w:ascii="Times New Roman" w:hAnsi="Times New Roman"/>
                <w:sz w:val="20"/>
                <w:szCs w:val="20"/>
              </w:rPr>
              <w:t xml:space="preserve">текущий ремонт дорожного покрытия существующей улично-дорожной сети в </w:t>
            </w:r>
            <w:proofErr w:type="spellStart"/>
            <w:r w:rsidRPr="00736EF2">
              <w:rPr>
                <w:rFonts w:ascii="Times New Roman" w:hAnsi="Times New Roman"/>
                <w:sz w:val="20"/>
                <w:szCs w:val="20"/>
              </w:rPr>
              <w:t>д.Новое</w:t>
            </w:r>
            <w:proofErr w:type="spellEnd"/>
            <w:r w:rsidRPr="00736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6EF2">
              <w:rPr>
                <w:rFonts w:ascii="Times New Roman" w:hAnsi="Times New Roman"/>
                <w:sz w:val="20"/>
                <w:szCs w:val="20"/>
              </w:rPr>
              <w:t>Девяткино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3B0CA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A0" w:rsidRDefault="003B0CA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3B0CA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CA0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0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CA0" w:rsidRPr="007B6235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A0" w:rsidRPr="003B0CA0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CA0" w:rsidRPr="003B0CA0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A0" w:rsidRPr="003B0CA0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CA0" w:rsidRPr="003B0CA0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A0" w:rsidRPr="007B6235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A0" w:rsidRPr="007B6235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A0" w:rsidRPr="007B6235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A0" w:rsidRPr="007B6235" w:rsidRDefault="003B0CA0" w:rsidP="003B0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AA0" w:rsidRDefault="00023AA0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023AA0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 w:rsidR="007E069A"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B52D5" w:rsidRPr="00023AA0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7B6235" w:rsidRPr="00023AA0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Комплексное развитие транспортной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5B53E7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екущий ремонт дорожного покрытия существующей улично-дорожной сети в </w:t>
                  </w:r>
                  <w:proofErr w:type="spell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д.Новое</w:t>
                  </w:r>
                  <w:proofErr w:type="spellEnd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Девяткино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5B53E7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6 697 229,24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5B53E7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6 697 229,24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023AA0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1AD"/>
    <w:rsid w:val="000117A0"/>
    <w:rsid w:val="00013180"/>
    <w:rsid w:val="000161AD"/>
    <w:rsid w:val="00023AA0"/>
    <w:rsid w:val="00030965"/>
    <w:rsid w:val="00060D95"/>
    <w:rsid w:val="000B0E44"/>
    <w:rsid w:val="000C033D"/>
    <w:rsid w:val="000F2D6A"/>
    <w:rsid w:val="00114161"/>
    <w:rsid w:val="00114FEB"/>
    <w:rsid w:val="001260A7"/>
    <w:rsid w:val="00144674"/>
    <w:rsid w:val="00146810"/>
    <w:rsid w:val="00195FF0"/>
    <w:rsid w:val="001A7BAD"/>
    <w:rsid w:val="001D13C2"/>
    <w:rsid w:val="001E4454"/>
    <w:rsid w:val="001E61AE"/>
    <w:rsid w:val="00235ADD"/>
    <w:rsid w:val="00246F84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B0CA0"/>
    <w:rsid w:val="003C4220"/>
    <w:rsid w:val="003C4F61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B53E7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4474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75668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651A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076"/>
  <w15:docId w15:val="{5D9F7C1F-9303-4E81-9893-6619E04F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5352-097B-42B5-B8F0-77489845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6</cp:revision>
  <cp:lastPrinted>2019-02-26T11:54:00Z</cp:lastPrinted>
  <dcterms:created xsi:type="dcterms:W3CDTF">2019-03-01T11:18:00Z</dcterms:created>
  <dcterms:modified xsi:type="dcterms:W3CDTF">2021-02-15T14:20:00Z</dcterms:modified>
</cp:coreProperties>
</file>